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1C2CB" w14:textId="1FF21A44" w:rsidR="00F50FDD" w:rsidRPr="00CA6526" w:rsidRDefault="00F50FDD" w:rsidP="00CF7B9E">
      <w:pPr>
        <w:pStyle w:val="Titolo1"/>
        <w:ind w:right="-2"/>
        <w:rPr>
          <w:lang w:val="it-IT"/>
        </w:rPr>
      </w:pPr>
      <w:r w:rsidRPr="00CF7B9E">
        <w:rPr>
          <w:lang w:val="it"/>
        </w:rPr>
        <w:t>Testo delle specifiche</w:t>
      </w:r>
    </w:p>
    <w:p w14:paraId="337AA3F0" w14:textId="77777777" w:rsidR="00F50FDD" w:rsidRPr="00CA6526" w:rsidRDefault="00F50FDD" w:rsidP="00CF7B9E">
      <w:pPr>
        <w:pStyle w:val="Titolo2"/>
        <w:ind w:right="-2"/>
        <w:rPr>
          <w:lang w:val="it-IT"/>
        </w:rPr>
      </w:pPr>
      <w:r w:rsidRPr="00CF7B9E">
        <w:rPr>
          <w:lang w:val="it"/>
        </w:rPr>
        <w:t>Porta scorrevole automatica</w:t>
      </w:r>
    </w:p>
    <w:p w14:paraId="02EFFEE4" w14:textId="77777777" w:rsidR="00F50FDD" w:rsidRPr="00CA6526" w:rsidRDefault="00F50FDD" w:rsidP="00CF7B9E">
      <w:pPr>
        <w:pStyle w:val="Lauftext10pt"/>
        <w:ind w:right="-2"/>
        <w:rPr>
          <w:rFonts w:cs="Arial"/>
          <w:b/>
          <w:bCs/>
          <w:lang w:val="it-IT"/>
        </w:rPr>
      </w:pPr>
      <w:r w:rsidRPr="00CF7B9E">
        <w:rPr>
          <w:b/>
          <w:lang w:val="it"/>
        </w:rPr>
        <w:t>Dimensioni</w:t>
      </w:r>
    </w:p>
    <w:p w14:paraId="4C1215FE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r w:rsidRPr="00CF7B9E">
        <w:rPr>
          <w:lang w:val="it"/>
        </w:rPr>
        <w:t>Larghezza........... millimetro</w:t>
      </w:r>
      <w:r w:rsidRPr="00CF7B9E">
        <w:rPr>
          <w:lang w:val="it"/>
        </w:rPr>
        <w:tab/>
      </w:r>
    </w:p>
    <w:p w14:paraId="6CE28EB5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r w:rsidRPr="00CF7B9E">
        <w:rPr>
          <w:lang w:val="it"/>
        </w:rPr>
        <w:t>Altezza complessiva........... millimetro</w:t>
      </w:r>
      <w:r w:rsidRPr="00CF7B9E">
        <w:rPr>
          <w:lang w:val="it"/>
        </w:rPr>
        <w:tab/>
      </w:r>
    </w:p>
    <w:p w14:paraId="4A89BA01" w14:textId="77777777" w:rsidR="00F50FDD" w:rsidRPr="00CA6526" w:rsidRDefault="00673482" w:rsidP="00CF7B9E">
      <w:pPr>
        <w:pStyle w:val="Lauftext11pt"/>
        <w:ind w:right="-2"/>
        <w:rPr>
          <w:rFonts w:cs="Arial"/>
          <w:lang w:val="it-IT"/>
        </w:rPr>
      </w:pPr>
      <w:r>
        <w:rPr>
          <w:lang w:val="it"/>
        </w:rPr>
        <w:t>Larghezza</w:t>
      </w:r>
      <w:r w:rsidR="00F50FDD">
        <w:rPr>
          <w:lang w:val="it"/>
        </w:rPr>
        <w:t>di passaggio</w:t>
      </w:r>
      <w:r>
        <w:rPr>
          <w:lang w:val="it"/>
        </w:rPr>
        <w:tab/>
      </w:r>
      <w:r>
        <w:rPr>
          <w:lang w:val="it"/>
        </w:rPr>
        <w:tab/>
        <w:t>........... mm (700 – 38</w:t>
      </w:r>
      <w:r w:rsidR="00F50FDD" w:rsidRPr="00CF7B9E">
        <w:rPr>
          <w:lang w:val="it"/>
        </w:rPr>
        <w:t>00 mm)</w:t>
      </w:r>
    </w:p>
    <w:p w14:paraId="20B182C5" w14:textId="77777777" w:rsidR="00F50FDD" w:rsidRPr="00CA6526" w:rsidRDefault="00F50FDD" w:rsidP="00CF7B9E">
      <w:pPr>
        <w:pStyle w:val="Lauftext11pt"/>
        <w:ind w:right="-2"/>
        <w:rPr>
          <w:rFonts w:cs="Arial"/>
          <w:lang w:val="it-IT"/>
        </w:rPr>
      </w:pPr>
      <w:r w:rsidRPr="00CF7B9E">
        <w:rPr>
          <w:lang w:val="it"/>
        </w:rPr>
        <w:t>Altezza passaggio........... millimetro</w:t>
      </w:r>
      <w:r w:rsidR="00A814C9">
        <w:rPr>
          <w:lang w:val="it"/>
        </w:rPr>
        <w:tab/>
      </w:r>
    </w:p>
    <w:p w14:paraId="54F28134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</w:p>
    <w:p w14:paraId="76538639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</w:p>
    <w:p w14:paraId="7D512CD8" w14:textId="77777777" w:rsidR="00F50FDD" w:rsidRPr="00CA6526" w:rsidRDefault="00F50FDD" w:rsidP="00CF7B9E">
      <w:pPr>
        <w:pStyle w:val="Titolo2"/>
        <w:ind w:right="-2"/>
        <w:rPr>
          <w:lang w:val="it-IT"/>
        </w:rPr>
      </w:pPr>
      <w:r w:rsidRPr="00CF7B9E">
        <w:rPr>
          <w:lang w:val="it"/>
        </w:rPr>
        <w:t>TORMAX iMotion</w:t>
      </w:r>
      <w:proofErr w:type="gramStart"/>
      <w:r w:rsidRPr="00CF7B9E">
        <w:rPr>
          <w:vertAlign w:val="superscript"/>
          <w:lang w:val="it"/>
        </w:rPr>
        <w:t>®</w:t>
      </w:r>
      <w:r>
        <w:rPr>
          <w:lang w:val="it"/>
        </w:rPr>
        <w:t xml:space="preserve"> </w:t>
      </w:r>
      <w:r w:rsidRPr="00CF7B9E">
        <w:rPr>
          <w:lang w:val="it"/>
        </w:rPr>
        <w:t xml:space="preserve"> 2302</w:t>
      </w:r>
      <w:proofErr w:type="gramEnd"/>
      <w:r w:rsidRPr="00CF7B9E">
        <w:rPr>
          <w:lang w:val="it"/>
        </w:rPr>
        <w:t xml:space="preserve"> </w:t>
      </w:r>
      <w:r>
        <w:rPr>
          <w:lang w:val="it"/>
        </w:rPr>
        <w:t xml:space="preserve"> </w:t>
      </w:r>
      <w:r w:rsidRPr="00CF7B9E">
        <w:rPr>
          <w:b w:val="0"/>
          <w:lang w:val="it"/>
        </w:rPr>
        <w:t>Azionamento per porte scorrevoli</w:t>
      </w:r>
    </w:p>
    <w:p w14:paraId="2E32494A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r w:rsidRPr="00CF7B9E">
        <w:rPr>
          <w:lang w:val="it"/>
        </w:rPr>
        <w:t>Azionamento automatico della porta scorrevole per porte scorrevoli ad anta singola o doppia, standard o telescopiche</w:t>
      </w:r>
    </w:p>
    <w:p w14:paraId="5A32683C" w14:textId="77777777" w:rsidR="00F50FDD" w:rsidRPr="00CA6526" w:rsidRDefault="00F50FDD" w:rsidP="00CF7B9E">
      <w:pPr>
        <w:pStyle w:val="Lauftext10pt"/>
        <w:numPr>
          <w:ilvl w:val="0"/>
          <w:numId w:val="7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Peso anta 2 x 180 kg, 1 x 200</w:t>
      </w:r>
      <w:proofErr w:type="gramStart"/>
      <w:r w:rsidR="00B66ED3" w:rsidRPr="00B66ED3">
        <w:rPr>
          <w:lang w:val="it"/>
        </w:rPr>
        <w:t>kg,</w:t>
      </w:r>
      <w:r>
        <w:rPr>
          <w:lang w:val="it"/>
        </w:rPr>
        <w:t xml:space="preserve"> </w:t>
      </w:r>
      <w:r w:rsidR="00B66ED3" w:rsidRPr="00673482">
        <w:rPr>
          <w:lang w:val="it"/>
        </w:rPr>
        <w:t xml:space="preserve"> telescop</w:t>
      </w:r>
      <w:r w:rsidR="00673482">
        <w:rPr>
          <w:lang w:val="it"/>
        </w:rPr>
        <w:t>e</w:t>
      </w:r>
      <w:proofErr w:type="gramEnd"/>
      <w:r>
        <w:rPr>
          <w:lang w:val="it"/>
        </w:rPr>
        <w:t xml:space="preserve"> </w:t>
      </w:r>
      <w:r w:rsidR="00B66ED3" w:rsidRPr="00673482">
        <w:rPr>
          <w:lang w:val="it"/>
        </w:rPr>
        <w:t xml:space="preserve"> 4 x 100 kg, 2 x 120 kg.</w:t>
      </w:r>
    </w:p>
    <w:p w14:paraId="5AD5A328" w14:textId="77777777" w:rsidR="00F50FDD" w:rsidRPr="00CA6526" w:rsidRDefault="00F50FDD" w:rsidP="00CF7B9E">
      <w:pPr>
        <w:pStyle w:val="Lauftext10pt"/>
        <w:numPr>
          <w:ilvl w:val="0"/>
          <w:numId w:val="7"/>
        </w:numPr>
        <w:ind w:right="-2"/>
        <w:rPr>
          <w:rFonts w:cs="Arial"/>
          <w:color w:val="000000"/>
          <w:lang w:val="it-IT"/>
        </w:rPr>
      </w:pPr>
      <w:r w:rsidRPr="00CF7B9E">
        <w:rPr>
          <w:color w:val="000000"/>
          <w:lang w:val="it"/>
        </w:rPr>
        <w:t xml:space="preserve">Profilo collettore sezione trasversale (H x P) 150 x 166 </w:t>
      </w:r>
      <w:proofErr w:type="gramStart"/>
      <w:r w:rsidRPr="00CF7B9E">
        <w:rPr>
          <w:color w:val="000000"/>
          <w:lang w:val="it"/>
        </w:rPr>
        <w:t>mm</w:t>
      </w:r>
      <w:r w:rsidR="00B66ED3">
        <w:rPr>
          <w:color w:val="000000"/>
          <w:lang w:val="it"/>
        </w:rPr>
        <w:t xml:space="preserve">, </w:t>
      </w:r>
      <w:r>
        <w:rPr>
          <w:lang w:val="it"/>
        </w:rPr>
        <w:t xml:space="preserve"> </w:t>
      </w:r>
      <w:r w:rsidR="00A0479A" w:rsidRPr="00B66ED3">
        <w:rPr>
          <w:lang w:val="it"/>
        </w:rPr>
        <w:t>telescop</w:t>
      </w:r>
      <w:r w:rsidR="00997BEA">
        <w:rPr>
          <w:lang w:val="it"/>
        </w:rPr>
        <w:t>e</w:t>
      </w:r>
      <w:proofErr w:type="gramEnd"/>
      <w:r>
        <w:rPr>
          <w:lang w:val="it"/>
        </w:rPr>
        <w:t xml:space="preserve"> </w:t>
      </w:r>
      <w:r w:rsidR="00B66ED3" w:rsidRPr="00B66ED3">
        <w:rPr>
          <w:color w:val="000000"/>
          <w:lang w:val="it"/>
        </w:rPr>
        <w:t xml:space="preserve"> 150 x 247 mm</w:t>
      </w:r>
    </w:p>
    <w:p w14:paraId="50E11BCF" w14:textId="77777777" w:rsidR="00184461" w:rsidRPr="00CA6526" w:rsidRDefault="00184461" w:rsidP="00184461">
      <w:pPr>
        <w:pStyle w:val="Lauftext10pt"/>
        <w:numPr>
          <w:ilvl w:val="0"/>
          <w:numId w:val="7"/>
        </w:numPr>
        <w:ind w:right="-2"/>
        <w:rPr>
          <w:rFonts w:cs="Arial"/>
          <w:color w:val="000000"/>
          <w:lang w:val="it-IT"/>
        </w:rPr>
      </w:pPr>
      <w:r w:rsidRPr="00CF7B9E">
        <w:rPr>
          <w:color w:val="000000"/>
          <w:lang w:val="it"/>
        </w:rPr>
        <w:t xml:space="preserve">In conformità alle </w:t>
      </w:r>
      <w:r w:rsidRPr="00184461">
        <w:rPr>
          <w:lang w:val="it"/>
        </w:rPr>
        <w:t>attuali linee guida 2006/42/EG, 2006/95/E, 2004/108/EG</w:t>
      </w:r>
    </w:p>
    <w:p w14:paraId="66F4ABB7" w14:textId="77777777" w:rsidR="00F50FDD" w:rsidRPr="00CA6526" w:rsidRDefault="00F50FDD" w:rsidP="00CF7B9E">
      <w:pPr>
        <w:pStyle w:val="Lauftext10pt"/>
        <w:numPr>
          <w:ilvl w:val="0"/>
          <w:numId w:val="7"/>
        </w:numPr>
        <w:ind w:right="-2"/>
        <w:rPr>
          <w:rFonts w:cs="Arial"/>
          <w:color w:val="000000"/>
          <w:lang w:val="it-IT"/>
        </w:rPr>
      </w:pPr>
      <w:r w:rsidRPr="00CF7B9E">
        <w:rPr>
          <w:color w:val="000000"/>
          <w:lang w:val="it"/>
        </w:rPr>
        <w:t>Conforme alle norme vigenti DIN 18650, EN 16005, EN 60335-1,-2-103, EN 61000-6-2,-3, EN ISO 13849-1:2008, Livello di prestazione "d"</w:t>
      </w:r>
      <w:r w:rsidR="00CF7B9E">
        <w:rPr>
          <w:color w:val="000000"/>
          <w:lang w:val="it"/>
        </w:rPr>
        <w:br/>
      </w:r>
    </w:p>
    <w:p w14:paraId="536C6B50" w14:textId="77777777" w:rsidR="00F50FDD" w:rsidRPr="00CF7B9E" w:rsidRDefault="00E7498C" w:rsidP="00CF7B9E">
      <w:pPr>
        <w:pStyle w:val="Lauftext10pt"/>
        <w:numPr>
          <w:ilvl w:val="0"/>
          <w:numId w:val="7"/>
        </w:numPr>
        <w:ind w:right="-2"/>
        <w:rPr>
          <w:rFonts w:cs="Arial"/>
          <w:color w:val="000000"/>
          <w:lang w:val="en-GB"/>
        </w:rPr>
      </w:pPr>
      <w:r>
        <w:rPr>
          <w:lang w:val="it"/>
        </w:rPr>
        <w:t>Approvazioni: CE incl. RoHS, TÜV</w:t>
      </w:r>
    </w:p>
    <w:p w14:paraId="015DC21E" w14:textId="77777777" w:rsidR="00F50FDD" w:rsidRPr="00CF7B9E" w:rsidRDefault="00F50FDD" w:rsidP="00CF7B9E">
      <w:pPr>
        <w:pStyle w:val="Lauftext10pt"/>
        <w:ind w:right="-2"/>
        <w:rPr>
          <w:rFonts w:cs="Arial"/>
          <w:lang w:val="en-GB"/>
        </w:rPr>
      </w:pPr>
    </w:p>
    <w:p w14:paraId="04ECBB83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Azionamento elettromeccanico per porte scorrevoli con tecnologia del motore sincrono senza usura e controllo del processore programmabile. Motore AC gearless, brushless a bassa</w:t>
      </w:r>
      <w:r w:rsidR="00CF7B9E">
        <w:rPr>
          <w:lang w:val="it"/>
        </w:rPr>
        <w:t xml:space="preserve">manutenzione principale. Alimentazione di </w:t>
      </w:r>
      <w:proofErr w:type="gramStart"/>
      <w:r w:rsidR="00CF7B9E">
        <w:rPr>
          <w:lang w:val="it"/>
        </w:rPr>
        <w:t xml:space="preserve">rete </w:t>
      </w:r>
      <w:r>
        <w:rPr>
          <w:lang w:val="it"/>
        </w:rPr>
        <w:t xml:space="preserve"> </w:t>
      </w:r>
      <w:r w:rsidRPr="00CF7B9E">
        <w:rPr>
          <w:lang w:val="it"/>
        </w:rPr>
        <w:t>115</w:t>
      </w:r>
      <w:proofErr w:type="gramEnd"/>
      <w:r w:rsidRPr="00CF7B9E">
        <w:rPr>
          <w:lang w:val="it"/>
        </w:rPr>
        <w:t xml:space="preserve"> VAC/60 Hz o 230 VAC/50 Hz</w:t>
      </w:r>
    </w:p>
    <w:p w14:paraId="08E2566E" w14:textId="77777777" w:rsidR="00F50FDD" w:rsidRPr="00CA6526" w:rsidRDefault="00F50FDD" w:rsidP="00CF7B9E">
      <w:pPr>
        <w:pStyle w:val="Lauftext10pt"/>
        <w:numPr>
          <w:ilvl w:val="0"/>
          <w:numId w:val="10"/>
        </w:numPr>
        <w:ind w:right="-2"/>
        <w:rPr>
          <w:rFonts w:cs="Arial"/>
          <w:lang w:val="it-IT"/>
        </w:rPr>
      </w:pPr>
      <w:r w:rsidRPr="00CF7B9E">
        <w:rPr>
          <w:lang w:val="it"/>
        </w:rPr>
        <w:t xml:space="preserve">Sistema di protezione IP22, temperatura ambiente, da –20 °C a +50 °C. </w:t>
      </w:r>
    </w:p>
    <w:p w14:paraId="6E1A5DA8" w14:textId="77777777" w:rsidR="00F50FDD" w:rsidRPr="00CA6526" w:rsidRDefault="00F50FDD" w:rsidP="00CF7B9E">
      <w:pPr>
        <w:pStyle w:val="Lauftext10pt"/>
        <w:numPr>
          <w:ilvl w:val="0"/>
          <w:numId w:val="10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Doppi rulli con scanalatura per una distribuzione ideale del carico e una stabilità direzionale regolare</w:t>
      </w:r>
    </w:p>
    <w:p w14:paraId="0487F099" w14:textId="77777777" w:rsidR="00F50FDD" w:rsidRPr="00CA6526" w:rsidRDefault="00F50FDD" w:rsidP="00CF7B9E">
      <w:pPr>
        <w:pStyle w:val="Lauftext10pt"/>
        <w:numPr>
          <w:ilvl w:val="0"/>
          <w:numId w:val="10"/>
        </w:numPr>
        <w:ind w:right="-2"/>
        <w:rPr>
          <w:rFonts w:cs="Arial"/>
          <w:lang w:val="it-IT"/>
        </w:rPr>
      </w:pPr>
      <w:r w:rsidRPr="00CF7B9E">
        <w:rPr>
          <w:lang w:val="it"/>
        </w:rPr>
        <w:t xml:space="preserve">Controrollio regolabile per un funzionamento a basso attrito senza gioco </w:t>
      </w:r>
    </w:p>
    <w:p w14:paraId="6E25DF4B" w14:textId="77777777" w:rsidR="00F50FDD" w:rsidRPr="00CA6526" w:rsidRDefault="00F50FDD" w:rsidP="00CF7B9E">
      <w:pPr>
        <w:pStyle w:val="Lauftext10pt"/>
        <w:numPr>
          <w:ilvl w:val="0"/>
          <w:numId w:val="10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Design positivo con un carrello saldamente trattenuto.</w:t>
      </w:r>
    </w:p>
    <w:p w14:paraId="3DF4258D" w14:textId="77777777" w:rsidR="00F50FDD" w:rsidRPr="00CA6526" w:rsidRDefault="00F50FDD" w:rsidP="00CF7B9E">
      <w:pPr>
        <w:pStyle w:val="Lauftext10pt"/>
        <w:numPr>
          <w:ilvl w:val="0"/>
          <w:numId w:val="10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Guida facilmente sostituibile con smorzamento acustico.</w:t>
      </w:r>
    </w:p>
    <w:p w14:paraId="5A515BE0" w14:textId="77777777" w:rsidR="00F50FDD" w:rsidRPr="00CA6526" w:rsidRDefault="00F50FDD" w:rsidP="00CF7B9E">
      <w:pPr>
        <w:pStyle w:val="Lauftext10pt"/>
        <w:numPr>
          <w:ilvl w:val="0"/>
          <w:numId w:val="10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Metodo di montaggio: montaggio ad architrave, montaggio a parete, montaggio a soffitto.</w:t>
      </w:r>
    </w:p>
    <w:p w14:paraId="7E3E8F6A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</w:p>
    <w:p w14:paraId="4110DD0E" w14:textId="77777777" w:rsidR="00F50FDD" w:rsidRPr="00CF7B9E" w:rsidRDefault="00F50FDD" w:rsidP="00CF7B9E">
      <w:pPr>
        <w:pStyle w:val="Lauftext10pt"/>
        <w:ind w:left="703" w:right="-2"/>
        <w:rPr>
          <w:rFonts w:cs="Arial"/>
          <w:lang w:val="en-GB"/>
        </w:rPr>
      </w:pPr>
      <w:r w:rsidRPr="00CF7B9E">
        <w:rPr>
          <w:b/>
          <w:lang w:val="it"/>
        </w:rPr>
        <w:t>Sistema di controllo</w:t>
      </w:r>
    </w:p>
    <w:p w14:paraId="3EFD2C31" w14:textId="77777777" w:rsidR="00CF7B9E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 xml:space="preserve">Processore a 32 Bit/30 MHz </w:t>
      </w:r>
      <w:r w:rsidR="00CF7B9E">
        <w:rPr>
          <w:lang w:val="it"/>
        </w:rPr>
        <w:t>per prestazioni elevate.</w:t>
      </w:r>
    </w:p>
    <w:p w14:paraId="11951FEE" w14:textId="77777777" w:rsidR="00F50FDD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8 ingressi (4 dispositivi di sicurezza testabili)</w:t>
      </w:r>
    </w:p>
    <w:p w14:paraId="20F6B5EB" w14:textId="77777777" w:rsidR="00F50FDD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3</w:t>
      </w:r>
      <w:proofErr w:type="gramEnd"/>
      <w:r w:rsidRPr="00CF7B9E">
        <w:rPr>
          <w:lang w:val="it"/>
        </w:rPr>
        <w:t xml:space="preserve"> uscite programmabili (segnali di feedback opzionali per diversi stati delle porte, come: Chiuso, Aperto, Guasto, Stato di blocco, Impulso luminoso, Impulso gong).</w:t>
      </w:r>
    </w:p>
    <w:p w14:paraId="33ADC4A6" w14:textId="77777777" w:rsidR="00F50FDD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Modulare allungabile da max. 2 moduli I/O (4 ingressi/uscite ciascuno)</w:t>
      </w:r>
    </w:p>
    <w:p w14:paraId="2C5DEAB3" w14:textId="77777777" w:rsidR="00F50FDD" w:rsidRPr="00CF7B9E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en-GB"/>
        </w:rPr>
      </w:pPr>
      <w:r w:rsidRPr="00CA6526">
        <w:rPr>
          <w:lang w:val="en-US"/>
        </w:rPr>
        <w:lastRenderedPageBreak/>
        <w:t>Interfacce: LIN BUS, CAN BUS, RS 232</w:t>
      </w:r>
    </w:p>
    <w:p w14:paraId="2A019910" w14:textId="77777777" w:rsidR="00F50FDD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Rilevamento automatico dei dati specifici del sistema per un controllo ottimale del movimento, diagnosi operativa permanente.</w:t>
      </w:r>
    </w:p>
    <w:p w14:paraId="1A59D1F5" w14:textId="77777777" w:rsidR="00F50FDD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Riconoscimento, visualizzazione e registrazione dei guasti.</w:t>
      </w:r>
    </w:p>
    <w:p w14:paraId="02D86100" w14:textId="77777777" w:rsidR="00CF7B9E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 xml:space="preserve">Interfaccia utente multifunzione con modalità operative selezionabili: OFF, AUTOMATIC 1, AUTOMATIC 2, EXIT, OPEN e MANUAL. Stato dettagliato e diagnosi dei guasti. Funzione a ruota libera e reset selezionabile sull'unità operativa. </w:t>
      </w:r>
    </w:p>
    <w:p w14:paraId="420DEAEE" w14:textId="77777777" w:rsidR="00CF7B9E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Riconoscimento elettronico degli ostacoli nelle direzioni di chiusura e apertura, sensibilità di inversione</w:t>
      </w:r>
      <w:r w:rsidR="00CF7B9E">
        <w:rPr>
          <w:lang w:val="it"/>
        </w:rPr>
        <w:t>regolabile.</w:t>
      </w:r>
    </w:p>
    <w:p w14:paraId="2AFA9391" w14:textId="77777777" w:rsidR="00CF7B9E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Funzionamento manuale facile da spostare in caso di interruzione di corrente; disponibile anche con limitazione automatica della velocità come opzione.</w:t>
      </w:r>
    </w:p>
    <w:p w14:paraId="69FBE9C1" w14:textId="77777777" w:rsidR="00CF7B9E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Apertura di emergenza per l'apertura autonoma della porta in caso di interruzione di corrente nello stato sbloccato.</w:t>
      </w:r>
    </w:p>
    <w:p w14:paraId="00438748" w14:textId="77777777" w:rsidR="00CF7B9E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Molte funzioni programmabili come modalità operative, feed-back, funzioni speciali, funzione air-lock / portico ecc.</w:t>
      </w:r>
    </w:p>
    <w:p w14:paraId="39A9736E" w14:textId="77777777" w:rsidR="00F50FDD" w:rsidRPr="00CA6526" w:rsidRDefault="00F50FDD" w:rsidP="00CF7B9E">
      <w:pPr>
        <w:pStyle w:val="Lauftext10pt"/>
        <w:numPr>
          <w:ilvl w:val="0"/>
          <w:numId w:val="15"/>
        </w:numPr>
        <w:ind w:right="-2"/>
        <w:rPr>
          <w:rFonts w:cs="Arial"/>
          <w:lang w:val="it-IT"/>
        </w:rPr>
      </w:pPr>
      <w:r w:rsidRPr="00CF7B9E">
        <w:rPr>
          <w:lang w:val="it"/>
        </w:rPr>
        <w:t>È possibile l'integrazione in sistemi di livello superiore, ad esempio un sistema di gestione degli edifici, opzionalmente tramite contatti privi di potenziale o un sistema bus.</w:t>
      </w:r>
    </w:p>
    <w:p w14:paraId="34BE0520" w14:textId="77777777" w:rsidR="00F50FDD" w:rsidRPr="00CA6526" w:rsidRDefault="00F50FDD" w:rsidP="00184461">
      <w:pPr>
        <w:pStyle w:val="Lauftext10pt"/>
        <w:ind w:right="-2"/>
        <w:rPr>
          <w:rFonts w:cs="Arial"/>
          <w:lang w:val="it-IT"/>
        </w:rPr>
      </w:pPr>
    </w:p>
    <w:p w14:paraId="78D76D65" w14:textId="77777777" w:rsidR="00F50FDD" w:rsidRPr="00CA6526" w:rsidRDefault="00184461" w:rsidP="00CF7B9E">
      <w:pPr>
        <w:pStyle w:val="Lauftext10pt"/>
        <w:ind w:right="-2"/>
        <w:rPr>
          <w:rFonts w:cs="Arial"/>
          <w:b/>
          <w:sz w:val="24"/>
          <w:szCs w:val="24"/>
          <w:lang w:val="it-IT"/>
        </w:rPr>
      </w:pPr>
      <w:r>
        <w:rPr>
          <w:b/>
          <w:lang w:val="it"/>
        </w:rPr>
        <w:br w:type="page"/>
      </w:r>
      <w:r w:rsidR="00F50FDD" w:rsidRPr="00184461">
        <w:rPr>
          <w:b/>
          <w:sz w:val="24"/>
          <w:szCs w:val="24"/>
          <w:lang w:val="it"/>
        </w:rPr>
        <w:lastRenderedPageBreak/>
        <w:t>Ante</w:t>
      </w:r>
    </w:p>
    <w:p w14:paraId="7B8CB48C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Foglia scorrevole</w:t>
      </w:r>
    </w:p>
    <w:p w14:paraId="5FF75E9C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Componenti laterali stazionari</w:t>
      </w:r>
    </w:p>
    <w:p w14:paraId="2FF57B56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</w:t>
      </w:r>
      <w:r w:rsidRPr="00CF7B9E">
        <w:rPr>
          <w:lang w:val="it"/>
        </w:rPr>
        <w:tab/>
      </w:r>
      <w:r w:rsidR="00CF7B9E">
        <w:rPr>
          <w:lang w:val="it"/>
        </w:rPr>
        <w:t>Fanali fissi,</w:t>
      </w:r>
      <w:r>
        <w:rPr>
          <w:lang w:val="it"/>
        </w:rPr>
        <w:t xml:space="preserve"> </w:t>
      </w:r>
      <w:r w:rsidRPr="00CF7B9E">
        <w:rPr>
          <w:lang w:val="it"/>
        </w:rPr>
        <w:t xml:space="preserve"> ( _ ) -part</w:t>
      </w:r>
    </w:p>
    <w:p w14:paraId="778964F6" w14:textId="77777777" w:rsidR="00F50FDD" w:rsidRPr="00CA6526" w:rsidRDefault="00F50FDD" w:rsidP="00CF7B9E">
      <w:pPr>
        <w:pStyle w:val="FormatvorlageEinzug10ptFett"/>
        <w:ind w:right="-2"/>
        <w:rPr>
          <w:rFonts w:cs="Arial"/>
          <w:lang w:val="it-IT"/>
        </w:rPr>
      </w:pPr>
      <w:r w:rsidRPr="00CA6526">
        <w:rPr>
          <w:rFonts w:cs="Arial"/>
          <w:lang w:val="it-IT"/>
        </w:rPr>
        <w:tab/>
      </w:r>
    </w:p>
    <w:p w14:paraId="6CF31F96" w14:textId="77777777" w:rsidR="00F50FDD" w:rsidRPr="00CA6526" w:rsidRDefault="00F50FDD" w:rsidP="00CF7B9E">
      <w:pPr>
        <w:pStyle w:val="FormatvorlageEinzug10ptFett"/>
        <w:ind w:right="-2"/>
        <w:rPr>
          <w:rFonts w:cs="Arial"/>
          <w:lang w:val="it-IT"/>
        </w:rPr>
      </w:pPr>
      <w:r w:rsidRPr="00CF7B9E">
        <w:rPr>
          <w:lang w:val="it"/>
        </w:rPr>
        <w:t>Profili</w:t>
      </w:r>
    </w:p>
    <w:p w14:paraId="460F9ED3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Sistema di profili TORMAX LR 12</w:t>
      </w:r>
    </w:p>
    <w:p w14:paraId="604CDCB1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Vetri a foglio singolo ESG, VSG, bagnati</w:t>
      </w:r>
    </w:p>
    <w:p w14:paraId="7FBB5C8C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Spessore vetri 6 – 12 mm</w:t>
      </w:r>
    </w:p>
    <w:p w14:paraId="51DA566D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Tipo di vetro: vetro di sicurezza temperato bagnato, a foglio singolo/composto</w:t>
      </w:r>
    </w:p>
    <w:p w14:paraId="40327F45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Larghezza facciale 22 mm, altezza base 80 mm, profondità profilo 20 mm</w:t>
      </w:r>
    </w:p>
    <w:p w14:paraId="6C495494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543E9BCA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Sistema di profili TORMAX LR 22B</w:t>
      </w:r>
    </w:p>
    <w:p w14:paraId="00EB6F20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Vetri a foglio singolo o isolanti, a secco</w:t>
      </w:r>
    </w:p>
    <w:p w14:paraId="6312D0D3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Spessore vetro secco 8,5 – 10 mm, 21,5 – 23 mm, bagnato 6 – 28 mm</w:t>
      </w:r>
    </w:p>
    <w:p w14:paraId="63E22351" w14:textId="77777777" w:rsidR="00F50FDD" w:rsidRPr="00CA6526" w:rsidRDefault="00F50FDD" w:rsidP="00CF7B9E">
      <w:pPr>
        <w:pStyle w:val="Lauftext10pt"/>
        <w:ind w:left="709" w:right="-2"/>
        <w:rPr>
          <w:rFonts w:cs="Arial"/>
          <w:lang w:val="it-IT"/>
        </w:rPr>
      </w:pPr>
      <w:r w:rsidRPr="00CF7B9E">
        <w:rPr>
          <w:lang w:val="it"/>
        </w:rPr>
        <w:t>Larghezza facciale 30 mm, altezza base 78 mm, profondità profilo 34 mm</w:t>
      </w:r>
    </w:p>
    <w:p w14:paraId="7571B89C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26C41EE0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Sistema di profili TORMAX LR 32THERM</w:t>
      </w:r>
    </w:p>
    <w:p w14:paraId="4CE147EC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r w:rsidRPr="00CF7B9E">
        <w:rPr>
          <w:lang w:val="it"/>
        </w:rPr>
        <w:tab/>
        <w:t>Vetri isolanti a umido</w:t>
      </w:r>
    </w:p>
    <w:p w14:paraId="79910CAF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r w:rsidRPr="00CF7B9E">
        <w:rPr>
          <w:lang w:val="it"/>
        </w:rPr>
        <w:tab/>
        <w:t>Spessore della vetratura max. 32mm,</w:t>
      </w:r>
    </w:p>
    <w:p w14:paraId="4CA0A19D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r w:rsidRPr="00CF7B9E">
        <w:rPr>
          <w:lang w:val="it"/>
        </w:rPr>
        <w:tab/>
        <w:t>Larghezza facciale 35mm, altezza base 85mm, profondità profilo 40mm</w:t>
      </w:r>
    </w:p>
    <w:p w14:paraId="4964F09B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406F4BB7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Fare............ </w:t>
      </w:r>
    </w:p>
    <w:p w14:paraId="08B88A6B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2AA2E3AB" w14:textId="77777777" w:rsidR="00F50FDD" w:rsidRPr="00CA6526" w:rsidRDefault="00F50FDD" w:rsidP="00CF7B9E">
      <w:pPr>
        <w:pStyle w:val="Lauftext10pt"/>
        <w:ind w:right="-2"/>
        <w:rPr>
          <w:rFonts w:cs="Arial"/>
          <w:b/>
          <w:bCs/>
          <w:lang w:val="it-IT"/>
        </w:rPr>
      </w:pPr>
      <w:r w:rsidRPr="00CF7B9E">
        <w:rPr>
          <w:b/>
          <w:lang w:val="it"/>
        </w:rPr>
        <w:t>Guida al pavimento</w:t>
      </w:r>
    </w:p>
    <w:p w14:paraId="4604E4D2" w14:textId="77777777" w:rsidR="00F50FDD" w:rsidRPr="00CA6526" w:rsidRDefault="00CF7B9E" w:rsidP="00CF7B9E">
      <w:pPr>
        <w:ind w:right="-2"/>
        <w:rPr>
          <w:rFonts w:ascii="Arial" w:hAnsi="Arial" w:cs="Arial"/>
          <w:sz w:val="20"/>
          <w:lang w:val="it-IT"/>
        </w:rPr>
      </w:pPr>
      <w:proofErr w:type="gramStart"/>
      <w:r w:rsidRPr="00CF7B9E">
        <w:rPr>
          <w:sz w:val="20"/>
          <w:szCs w:val="20"/>
          <w:lang w:val="it"/>
        </w:rPr>
        <w:t>( _</w:t>
      </w:r>
      <w:proofErr w:type="gramEnd"/>
      <w:r w:rsidRPr="00CF7B9E">
        <w:rPr>
          <w:sz w:val="20"/>
          <w:szCs w:val="20"/>
          <w:lang w:val="it"/>
        </w:rPr>
        <w:t xml:space="preserve"> ) </w:t>
      </w:r>
      <w:r w:rsidR="00F50FDD" w:rsidRPr="00CF7B9E">
        <w:rPr>
          <w:lang w:val="it"/>
        </w:rPr>
        <w:tab/>
      </w:r>
      <w:r w:rsidR="00F50FDD" w:rsidRPr="00CF7B9E">
        <w:rPr>
          <w:sz w:val="20"/>
          <w:lang w:val="it"/>
        </w:rPr>
        <w:t>Guida a pavimento a montaggio superficiale</w:t>
      </w:r>
    </w:p>
    <w:p w14:paraId="44CB33FD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Guida continua del pavimento nel SNC, incluso l'aliante nella foglia scorrevole</w:t>
      </w:r>
    </w:p>
    <w:p w14:paraId="429659BC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Guida continua a pavimento in alluminio anodizzato E6/EV1 incluso pezzo scorrevole in anta scorrevole</w:t>
      </w:r>
    </w:p>
    <w:p w14:paraId="1CFD5F8F" w14:textId="77777777" w:rsidR="00F50FDD" w:rsidRPr="00CA6526" w:rsidRDefault="00F50FDD" w:rsidP="00CF7B9E">
      <w:pPr>
        <w:ind w:right="-2"/>
        <w:rPr>
          <w:rFonts w:ascii="Arial" w:hAnsi="Arial" w:cs="Arial"/>
          <w:lang w:val="it-IT"/>
        </w:rPr>
      </w:pPr>
    </w:p>
    <w:p w14:paraId="3F47B7C2" w14:textId="77777777" w:rsidR="00F50FDD" w:rsidRPr="00CA6526" w:rsidRDefault="00F50FDD" w:rsidP="00CF7B9E">
      <w:pPr>
        <w:pStyle w:val="Lauftext10pt"/>
        <w:ind w:right="-2"/>
        <w:rPr>
          <w:rFonts w:cs="Arial"/>
          <w:b/>
          <w:bCs/>
          <w:lang w:val="it-IT"/>
        </w:rPr>
      </w:pPr>
      <w:r w:rsidRPr="00CF7B9E">
        <w:rPr>
          <w:b/>
          <w:lang w:val="it"/>
        </w:rPr>
        <w:t>Colore dei profili visibili</w:t>
      </w:r>
    </w:p>
    <w:p w14:paraId="3D6159E7" w14:textId="77777777" w:rsidR="00F50FDD" w:rsidRPr="00CA6526" w:rsidRDefault="00F50FDD" w:rsidP="00CF7B9E">
      <w:pPr>
        <w:pStyle w:val="Lauftext10pt"/>
        <w:tabs>
          <w:tab w:val="left" w:pos="2400"/>
        </w:tabs>
        <w:ind w:right="-2"/>
        <w:rPr>
          <w:rFonts w:cs="Arial"/>
          <w:lang w:val="it-IT"/>
        </w:rPr>
      </w:pPr>
      <w:r w:rsidRPr="00CF7B9E">
        <w:rPr>
          <w:lang w:val="it"/>
        </w:rPr>
        <w:t xml:space="preserve">Colore anodizzato </w:t>
      </w:r>
      <w:proofErr w:type="spellStart"/>
      <w:r w:rsidRPr="00CF7B9E">
        <w:rPr>
          <w:lang w:val="it"/>
        </w:rPr>
        <w:t>Elox</w:t>
      </w:r>
      <w:proofErr w:type="spellEnd"/>
      <w:r w:rsidRPr="00CF7B9E">
        <w:rPr>
          <w:lang w:val="it"/>
        </w:rPr>
        <w:t>................</w:t>
      </w:r>
    </w:p>
    <w:p w14:paraId="5AC2D73F" w14:textId="77777777" w:rsidR="00F50FDD" w:rsidRPr="00CA6526" w:rsidRDefault="00F50FDD" w:rsidP="00CF7B9E">
      <w:pPr>
        <w:pStyle w:val="Lauftext10pt"/>
        <w:tabs>
          <w:tab w:val="left" w:pos="2400"/>
        </w:tabs>
        <w:ind w:right="-2"/>
        <w:rPr>
          <w:rFonts w:cs="Arial"/>
          <w:lang w:val="it-IT"/>
        </w:rPr>
      </w:pPr>
      <w:r w:rsidRPr="00CF7B9E">
        <w:rPr>
          <w:lang w:val="it"/>
        </w:rPr>
        <w:t>Verniciatura a polvere RAL................</w:t>
      </w:r>
    </w:p>
    <w:p w14:paraId="7FC86E0A" w14:textId="77777777" w:rsidR="00F50FDD" w:rsidRPr="00CA6526" w:rsidRDefault="00F50FDD" w:rsidP="00CF7B9E">
      <w:pPr>
        <w:pStyle w:val="Lauftext10pt"/>
        <w:tabs>
          <w:tab w:val="left" w:pos="2400"/>
        </w:tabs>
        <w:ind w:right="-2"/>
        <w:rPr>
          <w:rFonts w:cs="Arial"/>
          <w:lang w:val="it-IT"/>
        </w:rPr>
      </w:pPr>
      <w:r w:rsidRPr="00CF7B9E">
        <w:rPr>
          <w:lang w:val="it"/>
        </w:rPr>
        <w:t>....................................................</w:t>
      </w:r>
    </w:p>
    <w:p w14:paraId="473273E3" w14:textId="77777777" w:rsidR="00F50FDD" w:rsidRPr="00CA6526" w:rsidRDefault="00F50FDD" w:rsidP="00CF7B9E">
      <w:pPr>
        <w:ind w:right="-2"/>
        <w:rPr>
          <w:rFonts w:ascii="Arial" w:hAnsi="Arial" w:cs="Arial"/>
          <w:lang w:val="it-IT"/>
        </w:rPr>
      </w:pPr>
    </w:p>
    <w:p w14:paraId="7594A7D9" w14:textId="77777777" w:rsidR="00F50FDD" w:rsidRPr="00CA6526" w:rsidRDefault="00F50FDD" w:rsidP="00CF7B9E">
      <w:pPr>
        <w:pStyle w:val="FormatvorlageEinzug10ptFett"/>
        <w:ind w:right="-2"/>
        <w:rPr>
          <w:rFonts w:cs="Arial"/>
          <w:lang w:val="it-IT"/>
        </w:rPr>
      </w:pPr>
      <w:r w:rsidRPr="00CF7B9E">
        <w:rPr>
          <w:lang w:val="it"/>
        </w:rPr>
        <w:t>Vetratura</w:t>
      </w:r>
    </w:p>
    <w:p w14:paraId="62F82E9C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Vetro di sicurezza a lastra singola da 10 mm, testato per l'immersione termica</w:t>
      </w:r>
    </w:p>
    <w:p w14:paraId="6620FD66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Vetro di sicurezza composto 10 mm, con pellicola da 0,78 mm </w:t>
      </w:r>
    </w:p>
    <w:p w14:paraId="1AA60D05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lastRenderedPageBreak/>
        <w:t>( _</w:t>
      </w:r>
      <w:proofErr w:type="gramEnd"/>
      <w:r w:rsidRPr="00CF7B9E">
        <w:rPr>
          <w:lang w:val="it"/>
        </w:rPr>
        <w:t xml:space="preserve"> ) Vetro isolante composto da vetro di sicurezza a lastra singola da 2 x 5 mm, testato per l'immersione termica, 22 mm </w:t>
      </w:r>
    </w:p>
    <w:p w14:paraId="6F4E3FEC" w14:textId="77777777" w:rsidR="00F50FDD" w:rsidRPr="00CA6526" w:rsidRDefault="00F50FDD" w:rsidP="00CF7B9E">
      <w:pPr>
        <w:pStyle w:val="Lauftext10pt"/>
        <w:ind w:right="-2" w:firstLine="709"/>
        <w:rPr>
          <w:rFonts w:cs="Arial"/>
          <w:lang w:val="it-IT"/>
        </w:rPr>
      </w:pPr>
      <w:r w:rsidRPr="00CF7B9E">
        <w:rPr>
          <w:lang w:val="it"/>
        </w:rPr>
        <w:t>Spessore complessivo, Ug 1.3 W/m</w:t>
      </w:r>
      <w:r w:rsidRPr="00CF7B9E">
        <w:rPr>
          <w:vertAlign w:val="superscript"/>
          <w:lang w:val="it"/>
        </w:rPr>
        <w:t>2</w:t>
      </w:r>
      <w:r w:rsidRPr="00CF7B9E">
        <w:rPr>
          <w:lang w:val="it"/>
        </w:rPr>
        <w:t>K</w:t>
      </w:r>
    </w:p>
    <w:p w14:paraId="27F72909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Vetro isolante composto da vetro di sicurezza composto da 2 x 6 mm, pellicola 0,78 mm, 22 mm</w:t>
      </w:r>
    </w:p>
    <w:p w14:paraId="4FEE121D" w14:textId="77777777" w:rsidR="00F50FDD" w:rsidRPr="00CA6526" w:rsidRDefault="00F50FDD" w:rsidP="00CF7B9E">
      <w:pPr>
        <w:pStyle w:val="Lauftext10pt"/>
        <w:ind w:right="-2" w:firstLine="709"/>
        <w:rPr>
          <w:rFonts w:cs="Arial"/>
          <w:lang w:val="it-IT"/>
        </w:rPr>
      </w:pPr>
      <w:r w:rsidRPr="00CF7B9E">
        <w:rPr>
          <w:lang w:val="it"/>
        </w:rPr>
        <w:t>Spessore complessivo, Ug 1.3 W/m</w:t>
      </w:r>
      <w:r w:rsidRPr="00CF7B9E">
        <w:rPr>
          <w:vertAlign w:val="superscript"/>
          <w:lang w:val="it"/>
        </w:rPr>
        <w:t>2</w:t>
      </w:r>
      <w:r w:rsidRPr="00CF7B9E">
        <w:rPr>
          <w:lang w:val="it"/>
        </w:rPr>
        <w:t>K</w:t>
      </w:r>
    </w:p>
    <w:p w14:paraId="7B39C630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Doppio vetro isolante composto da 2 x VSG, spessore complessivo 31,1 mm, Ug 1,0 W / (m</w:t>
      </w:r>
      <w:r w:rsidRPr="00CF7B9E">
        <w:rPr>
          <w:vertAlign w:val="superscript"/>
          <w:lang w:val="it"/>
        </w:rPr>
        <w:t>2</w:t>
      </w:r>
      <w:r w:rsidRPr="00CF7B9E">
        <w:rPr>
          <w:lang w:val="it"/>
        </w:rPr>
        <w:t>/ K)</w:t>
      </w:r>
    </w:p>
    <w:p w14:paraId="72750F9A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vertAlign w:val="superscript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Triplo vetro isolante composto da 3 x ESG, spessore complessivo 32mm, Ug 0.8W/(m</w:t>
      </w:r>
      <w:r w:rsidRPr="00CF7B9E">
        <w:rPr>
          <w:vertAlign w:val="superscript"/>
          <w:lang w:val="it"/>
        </w:rPr>
        <w:t>2</w:t>
      </w:r>
      <w:r w:rsidRPr="00CF7B9E">
        <w:rPr>
          <w:lang w:val="it"/>
        </w:rPr>
        <w:t>/K)</w:t>
      </w:r>
    </w:p>
    <w:p w14:paraId="0FE48401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Fare............ </w:t>
      </w:r>
    </w:p>
    <w:p w14:paraId="4CA8D3FC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</w:p>
    <w:p w14:paraId="03D9382D" w14:textId="77777777" w:rsidR="00F50FDD" w:rsidRPr="00CA6526" w:rsidRDefault="00F50FDD" w:rsidP="00CF7B9E">
      <w:pPr>
        <w:pStyle w:val="Titolo2"/>
        <w:ind w:right="-2"/>
        <w:rPr>
          <w:lang w:val="it-IT"/>
        </w:rPr>
      </w:pPr>
      <w:r w:rsidRPr="00CF7B9E">
        <w:rPr>
          <w:lang w:val="it"/>
        </w:rPr>
        <w:t>Sensori</w:t>
      </w:r>
    </w:p>
    <w:p w14:paraId="3F4CD0B8" w14:textId="77777777" w:rsidR="00F50FDD" w:rsidRPr="00CA6526" w:rsidRDefault="00F50FDD" w:rsidP="00CF7B9E">
      <w:pPr>
        <w:pStyle w:val="Lauftext10pt"/>
        <w:ind w:left="705" w:right="-2"/>
        <w:rPr>
          <w:rFonts w:cs="Arial"/>
          <w:lang w:val="it-IT"/>
        </w:rPr>
      </w:pPr>
      <w:r w:rsidRPr="00CF7B9E">
        <w:rPr>
          <w:lang w:val="it"/>
        </w:rPr>
        <w:t>Attivazione</w:t>
      </w:r>
    </w:p>
    <w:p w14:paraId="00EFE96E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Radar</w:t>
      </w:r>
    </w:p>
    <w:p w14:paraId="0EDAD87C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Infrarossi attivi</w:t>
      </w:r>
    </w:p>
    <w:p w14:paraId="7CAFD760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Infrarossi passivi</w:t>
      </w:r>
    </w:p>
    <w:p w14:paraId="00E66A6A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Interruttore a mano libera da contatto</w:t>
      </w:r>
    </w:p>
    <w:p w14:paraId="228D0900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Interruttore manuale a mano</w:t>
      </w:r>
    </w:p>
    <w:p w14:paraId="179F0A16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4B52BF1A" w14:textId="77777777" w:rsidR="00F50FDD" w:rsidRPr="00CA6526" w:rsidRDefault="00F50FDD" w:rsidP="00CF7B9E">
      <w:pPr>
        <w:pStyle w:val="Lauftext10pt"/>
        <w:ind w:left="705" w:right="-2"/>
        <w:rPr>
          <w:rFonts w:cs="Arial"/>
          <w:lang w:val="it-IT"/>
        </w:rPr>
      </w:pPr>
      <w:r w:rsidRPr="00CF7B9E">
        <w:rPr>
          <w:lang w:val="it"/>
        </w:rPr>
        <w:t>Struttura di sicurezza</w:t>
      </w:r>
    </w:p>
    <w:p w14:paraId="407A271E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Sicurezza dinamica (con/senza test)</w:t>
      </w:r>
    </w:p>
    <w:p w14:paraId="293B83D0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Sicurezza statica (con/senza test)</w:t>
      </w:r>
    </w:p>
    <w:p w14:paraId="6B3C9B33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Rilevatore/allarme combinato (radar e barriera fotoelettrica protettiva 3D AIR) con test</w:t>
      </w:r>
    </w:p>
    <w:p w14:paraId="0F1AEF2A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1755C6A6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r w:rsidRPr="00CF7B9E">
        <w:rPr>
          <w:lang w:val="it"/>
        </w:rPr>
        <w:tab/>
        <w:t xml:space="preserve">Valutazione della sicurezza conforme a </w:t>
      </w:r>
      <w:r w:rsidR="00184461" w:rsidRPr="00184461">
        <w:rPr>
          <w:lang w:val="it"/>
        </w:rPr>
        <w:t xml:space="preserve">DIN 18650 / EN 16005 </w:t>
      </w:r>
      <w:r>
        <w:rPr>
          <w:lang w:val="it"/>
        </w:rPr>
        <w:t xml:space="preserve"> </w:t>
      </w:r>
      <w:r w:rsidRPr="00CF7B9E">
        <w:rPr>
          <w:lang w:val="it"/>
        </w:rPr>
        <w:t>raccomandata. Nell'ambito delle linee guida per le macchine</w:t>
      </w:r>
      <w:r>
        <w:rPr>
          <w:lang w:val="it"/>
        </w:rPr>
        <w:t xml:space="preserve"> </w:t>
      </w:r>
      <w:r w:rsidR="00184461" w:rsidRPr="00184461">
        <w:rPr>
          <w:lang w:val="it"/>
        </w:rPr>
        <w:t xml:space="preserve"> 2006/42/EG</w:t>
      </w:r>
      <w:r>
        <w:rPr>
          <w:lang w:val="it"/>
        </w:rPr>
        <w:t xml:space="preserve"> </w:t>
      </w:r>
      <w:r w:rsidRPr="00CF7B9E">
        <w:rPr>
          <w:lang w:val="it"/>
        </w:rPr>
        <w:t xml:space="preserve"> è obbligatoria una dichiarazione di conformità per l'installazione della porta.</w:t>
      </w:r>
    </w:p>
    <w:p w14:paraId="50B27E1C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</w:p>
    <w:p w14:paraId="6A9CCDAA" w14:textId="77777777" w:rsidR="00F50FDD" w:rsidRPr="00CA6526" w:rsidRDefault="00F50FDD" w:rsidP="00CF7B9E">
      <w:pPr>
        <w:pStyle w:val="Titolo2"/>
        <w:ind w:right="-2"/>
        <w:rPr>
          <w:lang w:val="it-IT"/>
        </w:rPr>
      </w:pPr>
      <w:r w:rsidRPr="00CF7B9E">
        <w:rPr>
          <w:lang w:val="it"/>
        </w:rPr>
        <w:t>Accessoristica</w:t>
      </w:r>
    </w:p>
    <w:p w14:paraId="1C8AD644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Interfaccia utente con 6 modalità operative e visualizzazione dei guasti, 45 x 45 mm. Può essere installato lateralmente nel coperchio dell'unità o esternamente per l'installazione a parete o l'installazione nascosta nella parete. Adatto per il sistema Legrand.</w:t>
      </w:r>
    </w:p>
    <w:p w14:paraId="154AAA93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szCs w:val="22"/>
          <w:lang w:val="it"/>
        </w:rPr>
        <w:t>( _</w:t>
      </w:r>
      <w:proofErr w:type="gramEnd"/>
      <w:r w:rsidRPr="00CF7B9E">
        <w:rPr>
          <w:szCs w:val="22"/>
          <w:lang w:val="it"/>
        </w:rPr>
        <w:t xml:space="preserve"> )Interruttore di modalità operativa a 3 posizioni montato in custodia di plastica</w:t>
      </w:r>
    </w:p>
    <w:p w14:paraId="6C7E81E5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Modulo batteria monitorato per alimentazione di emergenza</w:t>
      </w:r>
    </w:p>
    <w:p w14:paraId="4C4A2CBF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Serratura elettromeccanica (serratura bistabile) con feedback, che agisce solo su bulloni di tenuta induriti dell'anta, non agisce sulla cinghia dentata o sulla puleggia di deflessione</w:t>
      </w:r>
    </w:p>
    <w:p w14:paraId="54A36D48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Apertura di emergenza incluso sblocco di emergenza protetto da scasso</w:t>
      </w:r>
    </w:p>
    <w:p w14:paraId="1CA45174" w14:textId="77777777" w:rsidR="00F50FDD" w:rsidRPr="00CA6526" w:rsidRDefault="00F50FDD" w:rsidP="00CF7B9E">
      <w:pPr>
        <w:pStyle w:val="Lauftext10pt"/>
        <w:ind w:right="-2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Impianto di monitoraggio dell'apertura di emergenza</w:t>
      </w:r>
    </w:p>
    <w:p w14:paraId="66D59100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lastRenderedPageBreak/>
        <w:t>( _</w:t>
      </w:r>
      <w:proofErr w:type="gramEnd"/>
      <w:r w:rsidRPr="00CF7B9E">
        <w:rPr>
          <w:lang w:val="it"/>
        </w:rPr>
        <w:t xml:space="preserve"> ) Interruttore OFF di emergenza, opzionalmente a montaggio superficiale o da incasso, con coperchio e telaio in vetro</w:t>
      </w:r>
    </w:p>
    <w:p w14:paraId="2A28A03E" w14:textId="77777777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Integrazione nella rete di sistema con comunicazione contatti</w:t>
      </w:r>
    </w:p>
    <w:p w14:paraId="73982BEF" w14:textId="3652C23B" w:rsidR="00F50FDD" w:rsidRPr="00CA6526" w:rsidRDefault="00F50FDD" w:rsidP="00CF7B9E">
      <w:pPr>
        <w:pStyle w:val="Lauftext10pt"/>
        <w:ind w:left="705" w:right="-2" w:hanging="705"/>
        <w:rPr>
          <w:rFonts w:cs="Arial"/>
          <w:lang w:val="it-IT"/>
        </w:rPr>
      </w:pPr>
      <w:proofErr w:type="gramStart"/>
      <w:r w:rsidRPr="00CF7B9E">
        <w:rPr>
          <w:lang w:val="it"/>
        </w:rPr>
        <w:t>( _</w:t>
      </w:r>
      <w:proofErr w:type="gramEnd"/>
      <w:r w:rsidRPr="00CF7B9E">
        <w:rPr>
          <w:lang w:val="it"/>
        </w:rPr>
        <w:t xml:space="preserve"> ) Integrazione nella rete di sistema con comunicazione bus</w:t>
      </w:r>
    </w:p>
    <w:sectPr w:rsidR="00F50FDD" w:rsidRPr="00CA6526">
      <w:footerReference w:type="default" r:id="rId8"/>
      <w:headerReference w:type="first" r:id="rId9"/>
      <w:footerReference w:type="first" r:id="rId10"/>
      <w:pgSz w:w="11906" w:h="16838" w:code="9"/>
      <w:pgMar w:top="1418" w:right="1418" w:bottom="1134" w:left="1418" w:header="709" w:footer="567" w:gutter="0"/>
      <w:cols w:space="708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FB635" w14:textId="77777777" w:rsidR="00461A18" w:rsidRDefault="00461A18">
      <w:r>
        <w:rPr>
          <w:lang w:val="it"/>
        </w:rPr>
        <w:separator/>
      </w:r>
    </w:p>
  </w:endnote>
  <w:endnote w:type="continuationSeparator" w:id="0">
    <w:p w14:paraId="6628DC86" w14:textId="77777777" w:rsidR="00461A18" w:rsidRDefault="00461A18">
      <w:r>
        <w:rPr>
          <w:lang w:val="i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MT B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8B1A" w14:textId="77777777" w:rsidR="00F50FDD" w:rsidRDefault="00F50FDD">
    <w:pPr>
      <w:pStyle w:val="Pidipagina"/>
      <w:rPr>
        <w:rFonts w:ascii="Arial" w:hAnsi="Arial" w:cs="Arial"/>
        <w:sz w:val="16"/>
        <w:szCs w:val="16"/>
        <w:lang w:val="en-GB"/>
      </w:rPr>
    </w:pPr>
    <w:r>
      <w:rPr>
        <w:sz w:val="16"/>
        <w:szCs w:val="16"/>
        <w:lang w:val="it"/>
      </w:rPr>
      <w:t>T</w:t>
    </w:r>
    <w:r w:rsidR="00673482">
      <w:rPr>
        <w:sz w:val="16"/>
        <w:szCs w:val="16"/>
        <w:lang w:val="it"/>
      </w:rPr>
      <w:t xml:space="preserve">ORMAX · </w:t>
    </w:r>
    <w:proofErr w:type="spellStart"/>
    <w:r w:rsidR="00673482">
      <w:rPr>
        <w:sz w:val="16"/>
        <w:szCs w:val="16"/>
        <w:lang w:val="it"/>
      </w:rPr>
      <w:t>iMotion</w:t>
    </w:r>
    <w:proofErr w:type="spellEnd"/>
    <w:r w:rsidR="00673482">
      <w:rPr>
        <w:sz w:val="16"/>
        <w:szCs w:val="16"/>
        <w:lang w:val="it"/>
      </w:rPr>
      <w:t xml:space="preserve"> 2302</w:t>
    </w:r>
    <w:r w:rsidR="00673482">
      <w:rPr>
        <w:sz w:val="16"/>
        <w:szCs w:val="16"/>
        <w:lang w:val="it"/>
      </w:rPr>
      <w:tab/>
      <w:t>Febbraio 2016</w:t>
    </w:r>
    <w:r>
      <w:rPr>
        <w:sz w:val="16"/>
        <w:szCs w:val="16"/>
        <w:lang w:val="it"/>
      </w:rPr>
      <w:tab/>
    </w:r>
    <w:r>
      <w:rPr>
        <w:sz w:val="16"/>
        <w:szCs w:val="16"/>
        <w:lang w:val="it"/>
      </w:rPr>
      <w:tab/>
    </w:r>
    <w:r>
      <w:rPr>
        <w:rStyle w:val="Numeropagina"/>
        <w:sz w:val="16"/>
        <w:szCs w:val="16"/>
        <w:lang w:val="it"/>
      </w:rPr>
      <w:fldChar w:fldCharType="begin"/>
    </w:r>
    <w:r>
      <w:rPr>
        <w:rStyle w:val="Numeropagina"/>
        <w:sz w:val="16"/>
        <w:szCs w:val="16"/>
        <w:lang w:val="it"/>
      </w:rPr>
      <w:instrText xml:space="preserve"> </w:instrText>
    </w:r>
    <w:r w:rsidR="00360FCF">
      <w:rPr>
        <w:rStyle w:val="Numeropagina"/>
        <w:sz w:val="16"/>
        <w:szCs w:val="16"/>
        <w:lang w:val="it"/>
      </w:rPr>
      <w:instrText>PAGE</w:instrText>
    </w:r>
    <w:r>
      <w:rPr>
        <w:rStyle w:val="Numeropagina"/>
        <w:sz w:val="16"/>
        <w:szCs w:val="16"/>
        <w:lang w:val="it"/>
      </w:rPr>
      <w:instrText xml:space="preserve"> </w:instrText>
    </w:r>
    <w:r>
      <w:rPr>
        <w:rStyle w:val="Numeropagina"/>
        <w:sz w:val="16"/>
        <w:szCs w:val="16"/>
        <w:lang w:val="it"/>
      </w:rPr>
      <w:fldChar w:fldCharType="separate"/>
    </w:r>
    <w:r w:rsidR="00997BEA">
      <w:rPr>
        <w:rStyle w:val="Numeropagina"/>
        <w:noProof/>
        <w:sz w:val="16"/>
        <w:szCs w:val="16"/>
        <w:lang w:val="it"/>
      </w:rPr>
      <w:t>1</w:t>
    </w:r>
    <w:r>
      <w:rPr>
        <w:rStyle w:val="Numeropagina"/>
        <w:sz w:val="16"/>
        <w:szCs w:val="16"/>
        <w:lang w:val="i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C27D9" w14:textId="77777777" w:rsidR="00F50FDD" w:rsidRDefault="00F50FDD">
    <w:pPr>
      <w:pStyle w:val="Pidipagina"/>
      <w:rPr>
        <w:rFonts w:ascii="Arial" w:hAnsi="Arial" w:cs="Arial"/>
        <w:sz w:val="16"/>
        <w:szCs w:val="16"/>
        <w:lang w:val="en-GB"/>
      </w:rPr>
    </w:pPr>
    <w:r>
      <w:rPr>
        <w:sz w:val="16"/>
        <w:szCs w:val="16"/>
        <w:lang w:val="it"/>
      </w:rPr>
      <w:t>Unità di alimentazione TORMAX 1401</w:t>
    </w:r>
    <w:r>
      <w:rPr>
        <w:sz w:val="16"/>
        <w:szCs w:val="16"/>
        <w:lang w:val="it"/>
      </w:rPr>
      <w:tab/>
    </w:r>
    <w:r>
      <w:rPr>
        <w:sz w:val="16"/>
        <w:szCs w:val="16"/>
        <w:lang w:val="it"/>
      </w:rPr>
      <w:tab/>
    </w:r>
    <w:r>
      <w:rPr>
        <w:rStyle w:val="Numeropagina"/>
        <w:sz w:val="16"/>
        <w:szCs w:val="16"/>
        <w:lang w:val="it"/>
      </w:rPr>
      <w:fldChar w:fldCharType="begin"/>
    </w:r>
    <w:r>
      <w:rPr>
        <w:rStyle w:val="Numeropagina"/>
        <w:sz w:val="16"/>
        <w:szCs w:val="16"/>
        <w:lang w:val="it"/>
      </w:rPr>
      <w:instrText xml:space="preserve"> </w:instrText>
    </w:r>
    <w:r w:rsidR="00360FCF">
      <w:rPr>
        <w:rStyle w:val="Numeropagina"/>
        <w:sz w:val="16"/>
        <w:szCs w:val="16"/>
        <w:lang w:val="it"/>
      </w:rPr>
      <w:instrText>PAGE</w:instrText>
    </w:r>
    <w:r>
      <w:rPr>
        <w:rStyle w:val="Numeropagina"/>
        <w:sz w:val="16"/>
        <w:szCs w:val="16"/>
        <w:lang w:val="it"/>
      </w:rPr>
      <w:instrText xml:space="preserve"> </w:instrText>
    </w:r>
    <w:r>
      <w:rPr>
        <w:rStyle w:val="Numeropagina"/>
        <w:sz w:val="16"/>
        <w:szCs w:val="16"/>
        <w:lang w:val="it"/>
      </w:rPr>
      <w:fldChar w:fldCharType="separate"/>
    </w:r>
    <w:r>
      <w:rPr>
        <w:rStyle w:val="Numeropagina"/>
        <w:sz w:val="16"/>
        <w:szCs w:val="16"/>
        <w:lang w:val="it"/>
      </w:rPr>
      <w:t>1</w:t>
    </w:r>
    <w:r>
      <w:rPr>
        <w:rStyle w:val="Numeropagina"/>
        <w:sz w:val="16"/>
        <w:szCs w:val="16"/>
        <w:lang w:val="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1E1E0" w14:textId="77777777" w:rsidR="00461A18" w:rsidRDefault="00461A18">
      <w:r>
        <w:rPr>
          <w:lang w:val="it"/>
        </w:rPr>
        <w:separator/>
      </w:r>
    </w:p>
  </w:footnote>
  <w:footnote w:type="continuationSeparator" w:id="0">
    <w:p w14:paraId="5AE1B193" w14:textId="77777777" w:rsidR="00461A18" w:rsidRDefault="00461A18">
      <w:r>
        <w:rPr>
          <w:lang w:val="i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BE5D" w14:textId="77777777" w:rsidR="00F50FDD" w:rsidRPr="00CA6526" w:rsidRDefault="00F50FDD">
    <w:pPr>
      <w:pStyle w:val="Titolo1"/>
      <w:rPr>
        <w:lang w:val="it-IT"/>
      </w:rPr>
    </w:pPr>
    <w:r>
      <w:rPr>
        <w:lang w:val="it"/>
      </w:rPr>
      <w:t>Testo dell'offerta</w:t>
    </w:r>
  </w:p>
  <w:p w14:paraId="36AFC908" w14:textId="77777777" w:rsidR="00F50FDD" w:rsidRPr="00CA6526" w:rsidRDefault="00F50FDD">
    <w:pPr>
      <w:pStyle w:val="Titolo1"/>
      <w:rPr>
        <w:lang w:val="it-IT"/>
      </w:rPr>
    </w:pPr>
    <w:r>
      <w:rPr>
        <w:lang w:val="it"/>
      </w:rPr>
      <w:t>Azionamento porta a battente TORMAX Power Drive 1401</w:t>
    </w:r>
  </w:p>
  <w:p w14:paraId="10C00A2E" w14:textId="77777777" w:rsidR="00F50FDD" w:rsidRPr="00CA6526" w:rsidRDefault="00F50FDD">
    <w:pPr>
      <w:pStyle w:val="Intestazione"/>
      <w:rPr>
        <w:rFonts w:ascii="Arial" w:hAnsi="Arial" w:cs="Arial"/>
        <w:sz w:val="24"/>
        <w:szCs w:val="24"/>
        <w:lang w:val="it-IT"/>
      </w:rPr>
    </w:pPr>
  </w:p>
  <w:p w14:paraId="32534B1F" w14:textId="77777777" w:rsidR="00F50FDD" w:rsidRDefault="00F50FDD">
    <w:pPr>
      <w:pStyle w:val="Intestazione"/>
      <w:rPr>
        <w:sz w:val="16"/>
        <w:szCs w:val="16"/>
      </w:rPr>
    </w:pPr>
    <w:r>
      <w:rPr>
        <w:sz w:val="16"/>
        <w:szCs w:val="16"/>
        <w:lang w:val="it"/>
      </w:rPr>
      <w:t>Novembre 2006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E3516"/>
    <w:multiLevelType w:val="hybridMultilevel"/>
    <w:tmpl w:val="8E70C2F0"/>
    <w:lvl w:ilvl="0" w:tplc="B3F65334">
      <w:start w:val="20"/>
      <w:numFmt w:val="bullet"/>
      <w:lvlText w:val="–"/>
      <w:lvlJc w:val="left"/>
      <w:pPr>
        <w:ind w:left="1069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2B1C05"/>
    <w:multiLevelType w:val="hybridMultilevel"/>
    <w:tmpl w:val="4F42FA66"/>
    <w:lvl w:ilvl="0" w:tplc="F00246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0EB4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5484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BC8E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F866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9E7C7A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412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C28F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9D4C13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C5D04"/>
    <w:multiLevelType w:val="hybridMultilevel"/>
    <w:tmpl w:val="70EA23C0"/>
    <w:lvl w:ilvl="0" w:tplc="DA6E56AC">
      <w:numFmt w:val="bullet"/>
      <w:lvlText w:val="-"/>
      <w:lvlJc w:val="left"/>
      <w:pPr>
        <w:ind w:left="1065" w:hanging="360"/>
      </w:pPr>
      <w:rPr>
        <w:rFonts w:ascii="Arial" w:eastAsia="Times New Roman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753776F"/>
    <w:multiLevelType w:val="hybridMultilevel"/>
    <w:tmpl w:val="39503026"/>
    <w:lvl w:ilvl="0" w:tplc="B3F65334">
      <w:start w:val="20"/>
      <w:numFmt w:val="bullet"/>
      <w:lvlText w:val="–"/>
      <w:lvlJc w:val="left"/>
      <w:pPr>
        <w:ind w:left="1069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85E0C35"/>
    <w:multiLevelType w:val="hybridMultilevel"/>
    <w:tmpl w:val="F87E7FF2"/>
    <w:lvl w:ilvl="0" w:tplc="B3F65334">
      <w:start w:val="20"/>
      <w:numFmt w:val="bullet"/>
      <w:lvlText w:val="–"/>
      <w:lvlJc w:val="left"/>
      <w:pPr>
        <w:ind w:left="360" w:hanging="360"/>
      </w:pPr>
      <w:rPr>
        <w:rFonts w:ascii="ArialMT" w:eastAsia="Times New Roman" w:hAnsi="ArialMT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34D8A"/>
    <w:multiLevelType w:val="hybridMultilevel"/>
    <w:tmpl w:val="C710623A"/>
    <w:lvl w:ilvl="0" w:tplc="20DC0E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94EC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74A22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A0A7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821B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7C5C3C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B469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B801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B60EE2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87730"/>
    <w:multiLevelType w:val="multilevel"/>
    <w:tmpl w:val="092EAA1A"/>
    <w:lvl w:ilvl="0">
      <w:start w:val="1"/>
      <w:numFmt w:val="bullet"/>
      <w:lvlText w:val=""/>
      <w:lvlJc w:val="left"/>
      <w:pPr>
        <w:tabs>
          <w:tab w:val="num" w:pos="510"/>
        </w:tabs>
        <w:ind w:left="68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7" w15:restartNumberingAfterBreak="0">
    <w:nsid w:val="55DD3DFB"/>
    <w:multiLevelType w:val="hybridMultilevel"/>
    <w:tmpl w:val="1D06C18C"/>
    <w:lvl w:ilvl="0" w:tplc="B3F65334">
      <w:start w:val="20"/>
      <w:numFmt w:val="bullet"/>
      <w:lvlText w:val="–"/>
      <w:lvlJc w:val="left"/>
      <w:pPr>
        <w:ind w:left="1069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4056C24"/>
    <w:multiLevelType w:val="hybridMultilevel"/>
    <w:tmpl w:val="E430BAF8"/>
    <w:lvl w:ilvl="0" w:tplc="DA6E56AC">
      <w:numFmt w:val="bullet"/>
      <w:lvlText w:val="-"/>
      <w:lvlJc w:val="left"/>
      <w:pPr>
        <w:ind w:left="1065" w:hanging="360"/>
      </w:pPr>
      <w:rPr>
        <w:rFonts w:ascii="Arial" w:eastAsia="Times New Roman" w:hAnsi="Arial" w:cs="Times New Roman" w:hint="default"/>
      </w:rPr>
    </w:lvl>
    <w:lvl w:ilvl="1" w:tplc="0407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66157CF8"/>
    <w:multiLevelType w:val="hybridMultilevel"/>
    <w:tmpl w:val="FCFE512C"/>
    <w:lvl w:ilvl="0" w:tplc="B3F65334">
      <w:start w:val="20"/>
      <w:numFmt w:val="bullet"/>
      <w:lvlText w:val="–"/>
      <w:lvlJc w:val="left"/>
      <w:pPr>
        <w:ind w:left="1063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0" w15:restartNumberingAfterBreak="0">
    <w:nsid w:val="68317622"/>
    <w:multiLevelType w:val="hybridMultilevel"/>
    <w:tmpl w:val="B4349F74"/>
    <w:lvl w:ilvl="0" w:tplc="B3F65334">
      <w:start w:val="20"/>
      <w:numFmt w:val="bullet"/>
      <w:lvlText w:val="–"/>
      <w:lvlJc w:val="left"/>
      <w:pPr>
        <w:ind w:left="1069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9110A21"/>
    <w:multiLevelType w:val="hybridMultilevel"/>
    <w:tmpl w:val="AA88D37A"/>
    <w:lvl w:ilvl="0" w:tplc="B3F65334">
      <w:start w:val="20"/>
      <w:numFmt w:val="bullet"/>
      <w:lvlText w:val="–"/>
      <w:lvlJc w:val="left"/>
      <w:pPr>
        <w:ind w:left="1069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C985B73"/>
    <w:multiLevelType w:val="hybridMultilevel"/>
    <w:tmpl w:val="2BBEA4A4"/>
    <w:lvl w:ilvl="0" w:tplc="B3F65334">
      <w:start w:val="20"/>
      <w:numFmt w:val="bullet"/>
      <w:lvlText w:val="–"/>
      <w:lvlJc w:val="left"/>
      <w:pPr>
        <w:ind w:left="1069" w:hanging="360"/>
      </w:pPr>
      <w:rPr>
        <w:rFonts w:ascii="ArialMT" w:eastAsia="Times New Roman" w:hAnsi="ArialMT" w:cs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B40BC5"/>
    <w:multiLevelType w:val="hybridMultilevel"/>
    <w:tmpl w:val="070A8D38"/>
    <w:lvl w:ilvl="0" w:tplc="C6703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9269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97C4DC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8CE8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453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739467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6EBB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658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460C9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94147"/>
    <w:multiLevelType w:val="hybridMultilevel"/>
    <w:tmpl w:val="092EAA1A"/>
    <w:lvl w:ilvl="0" w:tplc="2AC8C014">
      <w:start w:val="1"/>
      <w:numFmt w:val="bullet"/>
      <w:lvlText w:val=""/>
      <w:lvlJc w:val="left"/>
      <w:pPr>
        <w:tabs>
          <w:tab w:val="num" w:pos="510"/>
        </w:tabs>
        <w:ind w:left="680" w:hanging="170"/>
      </w:pPr>
      <w:rPr>
        <w:rFonts w:ascii="Symbol" w:hAnsi="Symbol" w:hint="default"/>
      </w:rPr>
    </w:lvl>
    <w:lvl w:ilvl="1" w:tplc="4BF69FE6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Wingdings" w:hint="default"/>
      </w:rPr>
    </w:lvl>
    <w:lvl w:ilvl="2" w:tplc="DF0AFEEE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A8A8DDB0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6638E602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Wingdings" w:hint="default"/>
      </w:rPr>
    </w:lvl>
    <w:lvl w:ilvl="5" w:tplc="8090AAC8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34B2E7EC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048D0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Wingdings" w:hint="default"/>
      </w:rPr>
    </w:lvl>
    <w:lvl w:ilvl="8" w:tplc="C7C8B67A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12"/>
  </w:num>
  <w:num w:numId="8">
    <w:abstractNumId w:val="11"/>
  </w:num>
  <w:num w:numId="9">
    <w:abstractNumId w:val="4"/>
  </w:num>
  <w:num w:numId="10">
    <w:abstractNumId w:val="0"/>
  </w:num>
  <w:num w:numId="11">
    <w:abstractNumId w:val="2"/>
  </w:num>
  <w:num w:numId="12">
    <w:abstractNumId w:val="8"/>
  </w:num>
  <w:num w:numId="13">
    <w:abstractNumId w:val="1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53B1"/>
    <w:rsid w:val="000E6545"/>
    <w:rsid w:val="0015694F"/>
    <w:rsid w:val="00184461"/>
    <w:rsid w:val="001E58A6"/>
    <w:rsid w:val="00264AD5"/>
    <w:rsid w:val="00270D48"/>
    <w:rsid w:val="00360FCF"/>
    <w:rsid w:val="003C3CE5"/>
    <w:rsid w:val="00461A18"/>
    <w:rsid w:val="004D6B78"/>
    <w:rsid w:val="00577AAD"/>
    <w:rsid w:val="00597B07"/>
    <w:rsid w:val="00673482"/>
    <w:rsid w:val="008420CA"/>
    <w:rsid w:val="00997BEA"/>
    <w:rsid w:val="00A0479A"/>
    <w:rsid w:val="00A814C9"/>
    <w:rsid w:val="00B66ED3"/>
    <w:rsid w:val="00BA1980"/>
    <w:rsid w:val="00C24CD5"/>
    <w:rsid w:val="00C953B1"/>
    <w:rsid w:val="00CA6526"/>
    <w:rsid w:val="00CF7B9E"/>
    <w:rsid w:val="00D93361"/>
    <w:rsid w:val="00E7498C"/>
    <w:rsid w:val="00F50FD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C0D7E"/>
  <w15:chartTrackingRefBased/>
  <w15:docId w15:val="{6E6CAB36-C382-491D-947B-735C5AB2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de-DE" w:eastAsia="zh-CN"/>
    </w:rPr>
  </w:style>
  <w:style w:type="paragraph" w:styleId="Titolo1">
    <w:name w:val="heading 1"/>
    <w:basedOn w:val="Normale"/>
    <w:next w:val="Normale"/>
    <w:qFormat/>
    <w:pPr>
      <w:keepNext/>
      <w:spacing w:after="40"/>
      <w:outlineLvl w:val="0"/>
    </w:pPr>
    <w:rPr>
      <w:rFonts w:ascii="Arial" w:hAnsi="Arial" w:cs="Arial"/>
      <w:b/>
      <w:bCs/>
      <w:kern w:val="32"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spacing w:before="120" w:after="60"/>
      <w:outlineLvl w:val="1"/>
    </w:pPr>
    <w:rPr>
      <w:rFonts w:ascii="Arial" w:hAnsi="Arial" w:cs="Arial"/>
      <w:b/>
      <w:bCs/>
      <w:iCs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577AAD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ullet">
    <w:name w:val="Bullet"/>
    <w:basedOn w:val="Normale"/>
    <w:autoRedefine/>
    <w:pPr>
      <w:widowControl w:val="0"/>
      <w:autoSpaceDE w:val="0"/>
      <w:autoSpaceDN w:val="0"/>
      <w:adjustRightInd w:val="0"/>
      <w:ind w:left="227" w:hanging="227"/>
    </w:pPr>
    <w:rPr>
      <w:rFonts w:ascii="Arial MT" w:eastAsia="Times New Roman" w:hAnsi="Arial MT"/>
      <w:color w:val="000000"/>
      <w:sz w:val="22"/>
      <w:szCs w:val="20"/>
      <w:lang w:val="de-CH"/>
    </w:rPr>
  </w:style>
  <w:style w:type="paragraph" w:styleId="Intestazione">
    <w:name w:val="header"/>
    <w:basedOn w:val="Normale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eastAsia="de-DE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paragraph" w:customStyle="1" w:styleId="Lauftexttitel">
    <w:name w:val="Lauftexttitel"/>
    <w:basedOn w:val="Normale"/>
    <w:pPr>
      <w:spacing w:line="280" w:lineRule="atLeast"/>
    </w:pPr>
    <w:rPr>
      <w:rFonts w:ascii="Arial MT Bd" w:eastAsia="Times New Roman" w:hAnsi="Arial MT Bd"/>
      <w:sz w:val="22"/>
      <w:szCs w:val="20"/>
      <w:lang w:eastAsia="de-DE"/>
    </w:rPr>
  </w:style>
  <w:style w:type="paragraph" w:customStyle="1" w:styleId="Lauftext10pt">
    <w:name w:val="Lauftext 10 pt"/>
    <w:basedOn w:val="Lauftexttitel"/>
    <w:pPr>
      <w:spacing w:line="240" w:lineRule="atLeast"/>
      <w:ind w:right="1928"/>
    </w:pPr>
    <w:rPr>
      <w:rFonts w:ascii="Arial" w:hAnsi="Arial"/>
      <w:sz w:val="20"/>
    </w:rPr>
  </w:style>
  <w:style w:type="character" w:styleId="Numeropagina">
    <w:name w:val="page number"/>
    <w:basedOn w:val="Carpredefinitoparagrafo"/>
  </w:style>
  <w:style w:type="paragraph" w:customStyle="1" w:styleId="Lauftext">
    <w:name w:val="Lauftext"/>
    <w:basedOn w:val="Normale"/>
    <w:pPr>
      <w:suppressAutoHyphens/>
      <w:autoSpaceDE w:val="0"/>
      <w:autoSpaceDN w:val="0"/>
      <w:adjustRightInd w:val="0"/>
      <w:spacing w:after="85" w:line="288" w:lineRule="auto"/>
      <w:jc w:val="both"/>
      <w:textAlignment w:val="baseline"/>
    </w:pPr>
    <w:rPr>
      <w:rFonts w:ascii="ArialMT" w:eastAsia="Times New Roman" w:hAnsi="ArialMT" w:cs="ArialMT"/>
      <w:color w:val="000000"/>
      <w:sz w:val="20"/>
      <w:szCs w:val="20"/>
      <w:lang w:val="en-US" w:eastAsia="de-DE"/>
    </w:rPr>
  </w:style>
  <w:style w:type="paragraph" w:customStyle="1" w:styleId="FormatvorlageLauftext10ptLinks124cmRechts097cm">
    <w:name w:val="Formatvorlage Lauftext 10 pt + Links:  1.24 cm Rechts:  0.97 cm"/>
    <w:basedOn w:val="Lauftext10pt"/>
    <w:pPr>
      <w:spacing w:after="120"/>
      <w:ind w:left="703" w:right="550"/>
    </w:pPr>
  </w:style>
  <w:style w:type="character" w:customStyle="1" w:styleId="LauftexttitelChar">
    <w:name w:val="Lauftexttitel Char"/>
    <w:rPr>
      <w:rFonts w:ascii="Arial MT Bd" w:hAnsi="Arial MT Bd"/>
      <w:sz w:val="22"/>
      <w:lang w:val="de-DE" w:eastAsia="de-DE" w:bidi="ar-SA"/>
    </w:rPr>
  </w:style>
  <w:style w:type="character" w:customStyle="1" w:styleId="Lauftext10ptChar">
    <w:name w:val="Lauftext 10 pt Char"/>
    <w:rPr>
      <w:rFonts w:ascii="Arial" w:hAnsi="Arial"/>
      <w:sz w:val="22"/>
      <w:lang w:val="de-DE" w:eastAsia="de-DE" w:bidi="ar-SA"/>
    </w:rPr>
  </w:style>
  <w:style w:type="paragraph" w:customStyle="1" w:styleId="Einzug11pt">
    <w:name w:val="Einzug 11 pt"/>
    <w:basedOn w:val="Lauftext11pt"/>
    <w:pPr>
      <w:tabs>
        <w:tab w:val="left" w:pos="720"/>
      </w:tabs>
      <w:ind w:left="709" w:hanging="709"/>
    </w:pPr>
    <w:rPr>
      <w:rFonts w:eastAsia="SimSun"/>
      <w:sz w:val="24"/>
      <w:szCs w:val="24"/>
    </w:rPr>
  </w:style>
  <w:style w:type="paragraph" w:customStyle="1" w:styleId="Lauftext11pt">
    <w:name w:val="Lauftext 11 pt"/>
    <w:basedOn w:val="Lauftexttitel"/>
    <w:pPr>
      <w:spacing w:line="260" w:lineRule="atLeast"/>
      <w:ind w:right="1928"/>
    </w:pPr>
    <w:rPr>
      <w:rFonts w:ascii="Arial" w:hAnsi="Arial"/>
      <w:sz w:val="20"/>
    </w:rPr>
  </w:style>
  <w:style w:type="character" w:customStyle="1" w:styleId="berschrift2Char">
    <w:name w:val="Überschrift 2 Char"/>
    <w:rPr>
      <w:rFonts w:ascii="Arial" w:eastAsia="SimSun" w:hAnsi="Arial" w:cs="Arial"/>
      <w:b/>
      <w:bCs/>
      <w:iCs/>
      <w:sz w:val="24"/>
      <w:szCs w:val="24"/>
      <w:lang w:val="de-DE" w:eastAsia="zh-CN" w:bidi="ar-SA"/>
    </w:rPr>
  </w:style>
  <w:style w:type="paragraph" w:customStyle="1" w:styleId="FormatvorlageEinzug10ptFett">
    <w:name w:val="Formatvorlage Einzug 10 pt + Fett"/>
    <w:basedOn w:val="Normale"/>
    <w:pPr>
      <w:tabs>
        <w:tab w:val="left" w:pos="720"/>
      </w:tabs>
      <w:spacing w:line="260" w:lineRule="atLeast"/>
      <w:ind w:left="709" w:right="1928" w:hanging="709"/>
    </w:pPr>
    <w:rPr>
      <w:rFonts w:ascii="Arial" w:eastAsia="Times New Roman" w:hAnsi="Arial"/>
      <w:b/>
      <w:bCs/>
      <w:sz w:val="20"/>
      <w:szCs w:val="20"/>
      <w:lang w:eastAsia="de-DE"/>
    </w:rPr>
  </w:style>
  <w:style w:type="character" w:customStyle="1" w:styleId="Einzug11ptChar">
    <w:name w:val="Einzug 11 pt Char"/>
    <w:rPr>
      <w:rFonts w:ascii="Arial" w:eastAsia="SimSun" w:hAnsi="Arial"/>
      <w:sz w:val="24"/>
      <w:szCs w:val="24"/>
      <w:lang w:val="de-DE" w:eastAsia="de-DE" w:bidi="ar-SA"/>
    </w:rPr>
  </w:style>
  <w:style w:type="character" w:customStyle="1" w:styleId="TestofumettoCarattere">
    <w:name w:val="Testo fumetto Carattere"/>
    <w:link w:val="Testofumetto"/>
    <w:rsid w:val="00577AAD"/>
    <w:rPr>
      <w:rFonts w:ascii="Tahoma" w:hAnsi="Tahoma" w:cs="Tahoma"/>
      <w:sz w:val="16"/>
      <w:szCs w:val="16"/>
      <w:lang w:val="de-DE" w:eastAsia="zh-CN"/>
    </w:rPr>
  </w:style>
  <w:style w:type="character" w:styleId="Testosegnaposto">
    <w:name w:val="Placeholder Text"/>
    <w:rsid w:val="00CA65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58146-166C-4146-AFB2-8E1963A2A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967</Words>
  <Characters>5518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LV-Text Power Drive 1401</vt:lpstr>
      <vt:lpstr>LV-Text Power Drive 1401</vt:lpstr>
    </vt:vector>
  </TitlesOfParts>
  <Company>Landert Motoren AG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LV-Text Power Drive 1401</dc:title>
  <dc:subject/>
  <dc:creator>Andree Ebert</dc:creator>
  <cp:keywords/>
  <cp:lastModifiedBy>Viviana Morandidue</cp:lastModifiedBy>
  <cp:revision>1</cp:revision>
  <cp:lastPrinted>2014-01-29T12:13:00Z</cp:lastPrinted>
  <dcterms:created xsi:type="dcterms:W3CDTF">2022-01-18T15:12:00Z</dcterms:created>
  <dcterms:modified xsi:type="dcterms:W3CDTF">2022-01-18T15:13:00Z</dcterms:modified>
</cp:coreProperties>
</file>